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F4" w:rsidRPr="0059023E" w:rsidRDefault="003940F4" w:rsidP="0059023E">
      <w:pPr>
        <w:spacing w:line="480" w:lineRule="auto"/>
        <w:jc w:val="both"/>
        <w:rPr>
          <w:rFonts w:cstheme="minorHAnsi"/>
          <w:color w:val="333333"/>
        </w:rPr>
      </w:pPr>
      <w:bookmarkStart w:id="0" w:name="_GoBack"/>
      <w:bookmarkEnd w:id="0"/>
    </w:p>
    <w:p w:rsidR="00367723" w:rsidRDefault="00367723" w:rsidP="00642928">
      <w:pPr>
        <w:pStyle w:val="Akapitzlist"/>
        <w:spacing w:line="480" w:lineRule="auto"/>
        <w:jc w:val="right"/>
        <w:rPr>
          <w:rFonts w:cstheme="minorHAnsi"/>
          <w:color w:val="333333"/>
        </w:rPr>
      </w:pPr>
      <w:r>
        <w:rPr>
          <w:rFonts w:cstheme="minorHAnsi"/>
          <w:color w:val="333333"/>
        </w:rPr>
        <w:t>Załącznik</w:t>
      </w:r>
    </w:p>
    <w:p w:rsidR="00367723" w:rsidRDefault="00367723" w:rsidP="00CA2946">
      <w:pPr>
        <w:pStyle w:val="Akapitzlist"/>
        <w:spacing w:line="480" w:lineRule="auto"/>
        <w:jc w:val="both"/>
        <w:rPr>
          <w:rFonts w:cstheme="minorHAnsi"/>
          <w:color w:val="333333"/>
        </w:rPr>
      </w:pPr>
    </w:p>
    <w:p w:rsidR="00367723" w:rsidRPr="00642928" w:rsidRDefault="003940F4" w:rsidP="00642928">
      <w:pPr>
        <w:pStyle w:val="Akapitzlist"/>
        <w:spacing w:line="48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</w:rPr>
        <w:t>ZAPROSZENIE DO SKŁADANIA OFERT</w:t>
      </w:r>
    </w:p>
    <w:p w:rsidR="009C7DF3" w:rsidRPr="006755B3" w:rsidRDefault="009C7DF3" w:rsidP="00CA2946">
      <w:pPr>
        <w:pStyle w:val="Akapitzlist"/>
        <w:spacing w:line="480" w:lineRule="auto"/>
        <w:jc w:val="both"/>
        <w:rPr>
          <w:rFonts w:cstheme="minorHAnsi"/>
          <w:color w:val="333333"/>
        </w:rPr>
      </w:pPr>
    </w:p>
    <w:p w:rsidR="00B03BE5" w:rsidRPr="00B03BE5" w:rsidRDefault="00B03BE5" w:rsidP="00B03BE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333333"/>
        </w:rPr>
      </w:pPr>
      <w:r w:rsidRPr="00B03BE5">
        <w:rPr>
          <w:rFonts w:cstheme="minorHAnsi"/>
          <w:b/>
          <w:bCs/>
          <w:color w:val="333333"/>
        </w:rPr>
        <w:t>Sprzedawca i organizator przetargu. Osoby do kontaktu</w:t>
      </w:r>
    </w:p>
    <w:p w:rsidR="00B03BE5" w:rsidRDefault="00B03BE5" w:rsidP="00B03BE5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B03BE5" w:rsidRDefault="00B03BE5" w:rsidP="00B03BE5">
      <w:pPr>
        <w:pStyle w:val="Akapitzlist"/>
        <w:spacing w:line="276" w:lineRule="auto"/>
        <w:ind w:left="567" w:firstLine="426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Sprzedawcą i organizatorem przetargu jest </w:t>
      </w:r>
      <w:r w:rsidRPr="006755B3">
        <w:rPr>
          <w:rFonts w:cstheme="minorHAnsi"/>
          <w:color w:val="333333"/>
        </w:rPr>
        <w:t>Muzeum w Piotrkowie Trybunalskim z siedzibą w Piotrkowie Trybunalskim, pl. Zamkowy 4, 97-300 Piotrków Trybunalski</w:t>
      </w:r>
      <w:r>
        <w:rPr>
          <w:rFonts w:cstheme="minorHAnsi"/>
          <w:color w:val="333333"/>
        </w:rPr>
        <w:t>.</w:t>
      </w:r>
    </w:p>
    <w:p w:rsidR="00B03BE5" w:rsidRDefault="00B03BE5" w:rsidP="00B03BE5">
      <w:pPr>
        <w:pStyle w:val="Akapitzlist"/>
        <w:spacing w:line="276" w:lineRule="auto"/>
        <w:ind w:left="567" w:firstLine="426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 sprawie pytań dotyczących przetargu oraz oględzin należy kontaktować się:</w:t>
      </w:r>
    </w:p>
    <w:p w:rsidR="00B03BE5" w:rsidRDefault="00B01AA6" w:rsidP="00B03BE5">
      <w:pPr>
        <w:pStyle w:val="Akapitzlist"/>
        <w:spacing w:line="276" w:lineRule="auto"/>
        <w:ind w:left="993" w:firstLine="426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 adres mailowy: m.piotrowska@muzeumpiotrkow.pl</w:t>
      </w:r>
    </w:p>
    <w:p w:rsidR="00B03BE5" w:rsidRDefault="00B03BE5" w:rsidP="00B03BE5">
      <w:pPr>
        <w:pStyle w:val="Akapitzlist"/>
        <w:spacing w:line="276" w:lineRule="auto"/>
        <w:ind w:left="993" w:firstLine="426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telefonic</w:t>
      </w:r>
      <w:r w:rsidR="00B01AA6">
        <w:rPr>
          <w:rFonts w:cstheme="minorHAnsi"/>
          <w:color w:val="333333"/>
        </w:rPr>
        <w:t>znie (godz. 9 – 15): 44 646 52 72</w:t>
      </w:r>
      <w:r w:rsidR="008661D6">
        <w:rPr>
          <w:rFonts w:cstheme="minorHAnsi"/>
          <w:color w:val="333333"/>
        </w:rPr>
        <w:t xml:space="preserve"> wew. 25</w:t>
      </w:r>
    </w:p>
    <w:p w:rsidR="00B03BE5" w:rsidRDefault="00B03BE5" w:rsidP="00B03BE5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B03BE5" w:rsidRDefault="00B03BE5" w:rsidP="00B03BE5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3940F4" w:rsidRPr="00B03BE5" w:rsidRDefault="003940F4" w:rsidP="00B03BE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333333"/>
        </w:rPr>
      </w:pPr>
      <w:r w:rsidRPr="00B03BE5">
        <w:rPr>
          <w:rFonts w:cstheme="minorHAnsi"/>
          <w:b/>
          <w:bCs/>
          <w:color w:val="333333"/>
        </w:rPr>
        <w:t>Przedmiot sprzedaży: opis nieruchomości.</w:t>
      </w:r>
      <w:r w:rsidR="001F6B34" w:rsidRPr="00B03BE5">
        <w:rPr>
          <w:rFonts w:cstheme="minorHAnsi"/>
          <w:b/>
          <w:bCs/>
          <w:color w:val="333333"/>
        </w:rPr>
        <w:t xml:space="preserve"> Oględziny</w:t>
      </w:r>
    </w:p>
    <w:p w:rsidR="003940F4" w:rsidRDefault="003940F4" w:rsidP="00B03BE5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1F6B34" w:rsidRPr="001F6B34" w:rsidRDefault="001F6B34" w:rsidP="00B03BE5">
      <w:pPr>
        <w:pStyle w:val="Akapitzlist"/>
        <w:spacing w:line="276" w:lineRule="auto"/>
        <w:ind w:left="567" w:firstLine="567"/>
        <w:jc w:val="both"/>
        <w:rPr>
          <w:rFonts w:cstheme="minorHAnsi"/>
          <w:b/>
          <w:bCs/>
          <w:color w:val="333333"/>
        </w:rPr>
      </w:pPr>
      <w:r>
        <w:rPr>
          <w:rFonts w:cstheme="minorHAnsi"/>
          <w:color w:val="333333"/>
        </w:rPr>
        <w:t xml:space="preserve">W ramach przetargu sprzedawana jest </w:t>
      </w:r>
      <w:r w:rsidR="003940F4" w:rsidRPr="006755B3">
        <w:rPr>
          <w:rFonts w:cstheme="minorHAnsi"/>
          <w:b/>
          <w:bCs/>
          <w:color w:val="333333"/>
          <w:u w:val="single"/>
        </w:rPr>
        <w:t>nieruchomoś</w:t>
      </w:r>
      <w:r w:rsidR="003940F4">
        <w:rPr>
          <w:rFonts w:cstheme="minorHAnsi"/>
          <w:b/>
          <w:bCs/>
          <w:color w:val="333333"/>
          <w:u w:val="single"/>
        </w:rPr>
        <w:t xml:space="preserve">ć </w:t>
      </w:r>
      <w:r w:rsidR="003940F4" w:rsidRPr="006755B3">
        <w:rPr>
          <w:rFonts w:cstheme="minorHAnsi"/>
          <w:b/>
          <w:bCs/>
          <w:color w:val="333333"/>
          <w:u w:val="single"/>
        </w:rPr>
        <w:t>zabudowan</w:t>
      </w:r>
      <w:r w:rsidR="003940F4">
        <w:rPr>
          <w:rFonts w:cstheme="minorHAnsi"/>
          <w:b/>
          <w:bCs/>
          <w:color w:val="333333"/>
          <w:u w:val="single"/>
        </w:rPr>
        <w:t>a</w:t>
      </w:r>
      <w:r w:rsidR="003940F4" w:rsidRPr="006755B3">
        <w:rPr>
          <w:rFonts w:cstheme="minorHAnsi"/>
          <w:b/>
          <w:bCs/>
          <w:color w:val="333333"/>
          <w:u w:val="single"/>
        </w:rPr>
        <w:t xml:space="preserve"> położon</w:t>
      </w:r>
      <w:r>
        <w:rPr>
          <w:rFonts w:cstheme="minorHAnsi"/>
          <w:b/>
          <w:bCs/>
          <w:color w:val="333333"/>
          <w:u w:val="single"/>
        </w:rPr>
        <w:t>a</w:t>
      </w:r>
      <w:r w:rsidR="003940F4" w:rsidRPr="006755B3">
        <w:rPr>
          <w:rFonts w:cstheme="minorHAnsi"/>
          <w:b/>
          <w:bCs/>
          <w:color w:val="333333"/>
          <w:u w:val="single"/>
        </w:rPr>
        <w:t xml:space="preserve"> w miejscowości Polichno</w:t>
      </w:r>
      <w:r w:rsidR="003940F4" w:rsidRPr="006755B3">
        <w:rPr>
          <w:rFonts w:cstheme="minorHAnsi"/>
          <w:color w:val="333333"/>
        </w:rPr>
        <w:t xml:space="preserve">, dla której Sąd </w:t>
      </w:r>
      <w:r w:rsidR="003940F4" w:rsidRPr="00642928">
        <w:rPr>
          <w:rFonts w:cstheme="minorHAnsi"/>
          <w:color w:val="333333"/>
        </w:rPr>
        <w:t>Rejonowy w Piotrkowie Trybunalskim, VI Wydział Ksiąg Wieczystych, prowadzi księgę wieczystą o nr PT1P/00065361/7</w:t>
      </w:r>
      <w:r>
        <w:rPr>
          <w:rFonts w:cstheme="minorHAnsi"/>
          <w:color w:val="333333"/>
        </w:rPr>
        <w:t xml:space="preserve">. </w:t>
      </w:r>
      <w:r w:rsidRPr="001F6B34">
        <w:rPr>
          <w:rFonts w:cstheme="minorHAnsi"/>
          <w:color w:val="333333"/>
        </w:rPr>
        <w:t>Przedmiotem sprzedaży jest użytkowanie wieczyste gruntu oraz własność posadowionego na tym gruncie budynku stanowiącego przedmiot odrębnej własności (o pow. użytkowej 772 m</w:t>
      </w:r>
      <w:r w:rsidRPr="001F6B34">
        <w:rPr>
          <w:rFonts w:cstheme="minorHAnsi"/>
          <w:color w:val="333333"/>
          <w:vertAlign w:val="superscript"/>
        </w:rPr>
        <w:t>2</w:t>
      </w:r>
      <w:r w:rsidRPr="001F6B34">
        <w:rPr>
          <w:rFonts w:cstheme="minorHAnsi"/>
          <w:color w:val="333333"/>
        </w:rPr>
        <w:t xml:space="preserve"> i kubaturze 2022 m</w:t>
      </w:r>
      <w:r w:rsidRPr="001F6B34">
        <w:rPr>
          <w:rFonts w:cstheme="minorHAnsi"/>
          <w:color w:val="333333"/>
          <w:vertAlign w:val="superscript"/>
        </w:rPr>
        <w:t>3</w:t>
      </w:r>
      <w:r w:rsidRPr="001F6B34">
        <w:rPr>
          <w:rFonts w:cstheme="minorHAnsi"/>
          <w:color w:val="333333"/>
        </w:rPr>
        <w:t>).</w:t>
      </w:r>
      <w:r>
        <w:rPr>
          <w:rFonts w:cstheme="minorHAnsi"/>
          <w:color w:val="333333"/>
        </w:rPr>
        <w:t xml:space="preserve"> </w:t>
      </w:r>
    </w:p>
    <w:p w:rsidR="001F6B34" w:rsidRDefault="001F6B34" w:rsidP="00B03BE5">
      <w:pPr>
        <w:pStyle w:val="Akapitzlist"/>
        <w:spacing w:line="276" w:lineRule="auto"/>
        <w:ind w:left="567" w:firstLine="567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Szczegółowy opis nieruchomości zawiera operat szacunkowy stanowiący załącznik </w:t>
      </w:r>
      <w:r w:rsidR="00FA638A">
        <w:rPr>
          <w:rFonts w:cstheme="minorHAnsi"/>
          <w:color w:val="333333"/>
        </w:rPr>
        <w:t xml:space="preserve">nr 1 </w:t>
      </w:r>
      <w:r>
        <w:rPr>
          <w:rFonts w:cstheme="minorHAnsi"/>
          <w:color w:val="333333"/>
        </w:rPr>
        <w:t>do niniejszego zaproszenia.</w:t>
      </w:r>
    </w:p>
    <w:p w:rsidR="001F6B34" w:rsidRDefault="001F6B34" w:rsidP="00B03BE5">
      <w:pPr>
        <w:pStyle w:val="Akapitzlist"/>
        <w:spacing w:line="276" w:lineRule="auto"/>
        <w:ind w:left="567" w:firstLine="567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Na terenie nieruchomości znajduje się pomnik poświęcony żołnierzom Polski Walczącej i bojowników roku 1920 (przeks</w:t>
      </w:r>
      <w:r w:rsidR="00501C6A">
        <w:rPr>
          <w:rFonts w:cstheme="minorHAnsi"/>
          <w:color w:val="333333"/>
        </w:rPr>
        <w:t>z</w:t>
      </w:r>
      <w:r>
        <w:rPr>
          <w:rFonts w:cstheme="minorHAnsi"/>
          <w:color w:val="333333"/>
        </w:rPr>
        <w:t xml:space="preserve">tałcony z </w:t>
      </w:r>
      <w:r w:rsidR="00501C6A">
        <w:rPr>
          <w:rFonts w:cstheme="minorHAnsi"/>
          <w:color w:val="333333"/>
        </w:rPr>
        <w:t>monumentu z czasów PRL), który jest objęty indywidualną ochroną konserwatorską poprzez ujęcie w wojewódzkiej ewidencji zabytków Województwa Łódzkiego, a także głaz z tablicą pamiątkową dedykowaną oddziałom ZWZ i AK. W odniesieniu do pomnika nabywca nieruchomości będzie zobowiązany do dokonywania stosownych ustaleń z Łódzkim Wojewódzkim Konserwatorem Zabytków</w:t>
      </w:r>
      <w:r w:rsidR="00FA638A">
        <w:rPr>
          <w:rFonts w:cstheme="minorHAnsi"/>
          <w:color w:val="333333"/>
        </w:rPr>
        <w:t xml:space="preserve"> (pismo Konserwatora z stanowi załącznik nr 2 do niniejszego zaproszenia załącznik)</w:t>
      </w:r>
      <w:r w:rsidR="00501C6A">
        <w:rPr>
          <w:rFonts w:cstheme="minorHAnsi"/>
          <w:color w:val="333333"/>
        </w:rPr>
        <w:t xml:space="preserve">, </w:t>
      </w:r>
      <w:r w:rsidR="00FA638A">
        <w:rPr>
          <w:rFonts w:cstheme="minorHAnsi"/>
          <w:color w:val="333333"/>
        </w:rPr>
        <w:t>a w przypadku głazu z tablicą w umowie sprzedaży zostanie zawarte zastrzeżenie odnośnie konieczności uzgodnień ze sprzedawcą dla ewentualnego zmiany miejsca posadowienia albo likwidacji głazu.</w:t>
      </w:r>
    </w:p>
    <w:p w:rsidR="00FA638A" w:rsidRPr="000430A0" w:rsidRDefault="00FA638A" w:rsidP="000430A0">
      <w:pPr>
        <w:spacing w:after="0" w:line="240" w:lineRule="auto"/>
        <w:ind w:left="567"/>
        <w:jc w:val="both"/>
        <w:rPr>
          <w:rFonts w:cs="Arial"/>
          <w:color w:val="404040" w:themeColor="text1" w:themeTint="BF"/>
          <w:sz w:val="20"/>
          <w:szCs w:val="20"/>
        </w:rPr>
      </w:pPr>
      <w:r w:rsidRPr="00642928">
        <w:rPr>
          <w:rFonts w:cstheme="minorHAnsi"/>
          <w:color w:val="333333"/>
        </w:rPr>
        <w:t>Nieruchomość można oglądać w miejscu jej położenia</w:t>
      </w:r>
      <w:r>
        <w:rPr>
          <w:rFonts w:cstheme="minorHAnsi"/>
          <w:color w:val="333333"/>
        </w:rPr>
        <w:t xml:space="preserve">. Sprzedawca wymaga od kupującego złożenia oświadczenia o dokonaniu oględzin i braku uwag odnośnie stanu nieruchomości. Szczegółowych oględzin </w:t>
      </w:r>
      <w:r w:rsidR="003D4E88">
        <w:rPr>
          <w:rFonts w:cstheme="minorHAnsi"/>
          <w:color w:val="333333"/>
        </w:rPr>
        <w:t xml:space="preserve">stanu nieruchomości </w:t>
      </w:r>
      <w:r>
        <w:rPr>
          <w:rFonts w:cstheme="minorHAnsi"/>
          <w:color w:val="333333"/>
        </w:rPr>
        <w:t xml:space="preserve">wraz z </w:t>
      </w:r>
      <w:r w:rsidR="003D4E88">
        <w:rPr>
          <w:rFonts w:cstheme="minorHAnsi"/>
          <w:color w:val="333333"/>
        </w:rPr>
        <w:t xml:space="preserve">wnętrzem budynku można dokonywać </w:t>
      </w:r>
      <w:r w:rsidRPr="00642928">
        <w:rPr>
          <w:rFonts w:cstheme="minorHAnsi"/>
          <w:color w:val="333333"/>
        </w:rPr>
        <w:t>w dni robocze w godzinach 10-14 po wcześniejszym uzgodnieniu</w:t>
      </w:r>
      <w:r w:rsidR="003D4E88">
        <w:rPr>
          <w:rFonts w:cstheme="minorHAnsi"/>
          <w:color w:val="333333"/>
        </w:rPr>
        <w:t xml:space="preserve"> z osobami wskazanymi do kontaktu (z co </w:t>
      </w:r>
      <w:r w:rsidR="003D4E88" w:rsidRPr="005E49BA">
        <w:rPr>
          <w:rFonts w:cstheme="minorHAnsi"/>
          <w:color w:val="404040" w:themeColor="text1" w:themeTint="BF"/>
        </w:rPr>
        <w:t>najmniej dwudniowym wyprzedzeniem)</w:t>
      </w:r>
      <w:r w:rsidRPr="005E49BA">
        <w:rPr>
          <w:rFonts w:cstheme="minorHAnsi"/>
          <w:color w:val="404040" w:themeColor="text1" w:themeTint="BF"/>
        </w:rPr>
        <w:t>.</w:t>
      </w:r>
      <w:r w:rsidR="003D4E88" w:rsidRPr="005E49BA">
        <w:rPr>
          <w:rFonts w:cstheme="minorHAnsi"/>
          <w:color w:val="404040" w:themeColor="text1" w:themeTint="BF"/>
        </w:rPr>
        <w:t xml:space="preserve"> Nieruchomość podlega sprzedaży według stanu podlegającego oględzinom z zastrzeżeniem, że znajdujące się obecnie na terenie nieruchomości</w:t>
      </w:r>
      <w:r w:rsidR="005E49BA" w:rsidRPr="005E49BA">
        <w:rPr>
          <w:rFonts w:cstheme="minorHAnsi"/>
          <w:color w:val="404040" w:themeColor="text1" w:themeTint="BF"/>
        </w:rPr>
        <w:t>:</w:t>
      </w:r>
      <w:r w:rsidR="003D4E88" w:rsidRPr="005E49BA">
        <w:rPr>
          <w:rFonts w:cstheme="minorHAnsi"/>
          <w:color w:val="404040" w:themeColor="text1" w:themeTint="BF"/>
        </w:rPr>
        <w:t xml:space="preserve"> </w:t>
      </w:r>
      <w:r w:rsidR="00B01AA6" w:rsidRPr="005E49BA">
        <w:rPr>
          <w:rFonts w:cs="Arial"/>
          <w:color w:val="404040" w:themeColor="text1" w:themeTint="BF"/>
          <w:sz w:val="20"/>
          <w:szCs w:val="20"/>
        </w:rPr>
        <w:t>CIĘŻKI KARABIN MASZYNOWY SG-4</w:t>
      </w:r>
      <w:r w:rsidR="000430A0">
        <w:rPr>
          <w:rFonts w:cs="Arial"/>
          <w:color w:val="404040" w:themeColor="text1" w:themeTint="BF"/>
          <w:sz w:val="20"/>
          <w:szCs w:val="20"/>
        </w:rPr>
        <w:t>3</w:t>
      </w:r>
      <w:r w:rsidR="00B01AA6" w:rsidRPr="005E49BA">
        <w:rPr>
          <w:rFonts w:cs="Arial"/>
          <w:color w:val="404040" w:themeColor="text1" w:themeTint="BF"/>
          <w:sz w:val="20"/>
          <w:szCs w:val="20"/>
        </w:rPr>
        <w:t xml:space="preserve">; WIELOKALIBROWY KARABIN MASZYNOWY DSzK WZ. 38; MOŹDZIERZ RADZIECKI WZ. 43; </w:t>
      </w:r>
      <w:r w:rsidR="00A32D0B" w:rsidRPr="005E49BA">
        <w:rPr>
          <w:rFonts w:cs="Arial"/>
          <w:color w:val="404040" w:themeColor="text1" w:themeTint="BF"/>
          <w:sz w:val="20"/>
          <w:szCs w:val="20"/>
        </w:rPr>
        <w:t>MOŹ</w:t>
      </w:r>
      <w:r w:rsidR="00B01AA6" w:rsidRPr="005E49BA">
        <w:rPr>
          <w:rFonts w:cs="Arial"/>
          <w:color w:val="404040" w:themeColor="text1" w:themeTint="BF"/>
          <w:sz w:val="20"/>
          <w:szCs w:val="20"/>
        </w:rPr>
        <w:t xml:space="preserve">DZIERZ RADZIECKI WZ. 38  </w:t>
      </w:r>
      <w:r w:rsidR="003D4E88" w:rsidRPr="005E49BA">
        <w:rPr>
          <w:rFonts w:cstheme="minorHAnsi"/>
          <w:color w:val="404040" w:themeColor="text1" w:themeTint="BF"/>
        </w:rPr>
        <w:t xml:space="preserve">nie są objęte sprzedażą i zostaną zabrane przez sprzedawcę po rozstrzygnięciu przetargu ale przed </w:t>
      </w:r>
      <w:r w:rsidR="003D4E88" w:rsidRPr="00B01AA6">
        <w:rPr>
          <w:rFonts w:cstheme="minorHAnsi"/>
          <w:color w:val="333333"/>
        </w:rPr>
        <w:t>podpisaniem umowy sprzedaży nieruchomości. W związku z faktem, że budynek posadowiony na nieruchomości jest od wielu lat użytkowany</w:t>
      </w:r>
      <w:r w:rsidR="00124D7A" w:rsidRPr="00B01AA6">
        <w:rPr>
          <w:rFonts w:cstheme="minorHAnsi"/>
          <w:color w:val="333333"/>
        </w:rPr>
        <w:t xml:space="preserve">, </w:t>
      </w:r>
      <w:r w:rsidR="003D4E88" w:rsidRPr="00B01AA6">
        <w:rPr>
          <w:rFonts w:cstheme="minorHAnsi"/>
          <w:color w:val="333333"/>
        </w:rPr>
        <w:t xml:space="preserve">kwestia stanu technicznego nieruchomości </w:t>
      </w:r>
      <w:r w:rsidR="00124D7A" w:rsidRPr="00B01AA6">
        <w:rPr>
          <w:rFonts w:cstheme="minorHAnsi"/>
          <w:color w:val="333333"/>
        </w:rPr>
        <w:t xml:space="preserve">stanowi ryzyko kupującego, </w:t>
      </w:r>
      <w:r w:rsidR="00124D7A" w:rsidRPr="00B01AA6">
        <w:rPr>
          <w:rFonts w:cstheme="minorHAnsi"/>
          <w:color w:val="333333"/>
        </w:rPr>
        <w:lastRenderedPageBreak/>
        <w:t>dlatego w umowie sprzedaży nieruchomości zostanie zawarte postanowienie o rezygnacji kupującego z roszczeń z tytułu rękojmi za wady fizyczne nieruchomości.</w:t>
      </w:r>
    </w:p>
    <w:p w:rsidR="00124D7A" w:rsidRDefault="00DA5A85" w:rsidP="00B03BE5">
      <w:pPr>
        <w:pStyle w:val="Akapitzlist"/>
        <w:spacing w:line="276" w:lineRule="auto"/>
        <w:ind w:left="567" w:firstLine="567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Nieruchomość stanowi zorganizowaną część przedsiębiorstwa w rozumieniu art. 4a pkt 4 ustawy o podatku dochodowym od osób prawnych.</w:t>
      </w:r>
    </w:p>
    <w:p w:rsidR="003940F4" w:rsidRDefault="003940F4" w:rsidP="00B03BE5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3D4E88" w:rsidRDefault="003D4E88" w:rsidP="00B03BE5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3D4E88" w:rsidRPr="00E42975" w:rsidRDefault="00DA5A85" w:rsidP="00B03BE5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333333"/>
        </w:rPr>
      </w:pPr>
      <w:r w:rsidRPr="00E42975">
        <w:rPr>
          <w:rFonts w:cstheme="minorHAnsi"/>
          <w:b/>
          <w:bCs/>
          <w:color w:val="333333"/>
        </w:rPr>
        <w:t>Wadium</w:t>
      </w:r>
    </w:p>
    <w:p w:rsidR="007406EE" w:rsidRDefault="007406EE" w:rsidP="007406EE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7406EE" w:rsidRDefault="007406EE" w:rsidP="007406EE">
      <w:pPr>
        <w:pStyle w:val="Akapitzlist"/>
        <w:spacing w:line="276" w:lineRule="auto"/>
        <w:ind w:left="0" w:firstLine="72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 przetargu będą mogli wziąć udział jedynie ci oferenci, którzy dokonają wpłaty w</w:t>
      </w:r>
      <w:r w:rsidRPr="00642928">
        <w:rPr>
          <w:rFonts w:cstheme="minorHAnsi"/>
          <w:color w:val="333333"/>
        </w:rPr>
        <w:t>adium w wysokości 171.900,- zł. na rachunek bankowy</w:t>
      </w:r>
      <w:r>
        <w:rPr>
          <w:rFonts w:cstheme="minorHAnsi"/>
          <w:color w:val="333333"/>
        </w:rPr>
        <w:t>:</w:t>
      </w:r>
    </w:p>
    <w:p w:rsidR="007406EE" w:rsidRDefault="007406EE" w:rsidP="007406EE">
      <w:pPr>
        <w:pStyle w:val="Akapitzlist"/>
        <w:spacing w:line="276" w:lineRule="auto"/>
        <w:ind w:left="0" w:firstLine="72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Muzeum w Piotrkowie Trybunals</w:t>
      </w:r>
      <w:r w:rsidR="00E95AA3">
        <w:rPr>
          <w:rFonts w:cstheme="minorHAnsi"/>
          <w:color w:val="333333"/>
        </w:rPr>
        <w:t>kim, nr rachunku 86 1090 2590 0000 0001 5240 2618</w:t>
      </w:r>
    </w:p>
    <w:p w:rsidR="007406EE" w:rsidRDefault="007406EE" w:rsidP="007406EE">
      <w:pPr>
        <w:pStyle w:val="Akapitzlist"/>
        <w:spacing w:line="276" w:lineRule="auto"/>
        <w:ind w:left="0" w:firstLine="72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tytułem: wadium w przetargu na sprzedaż nieruchomości w Polichnie.</w:t>
      </w:r>
    </w:p>
    <w:p w:rsidR="007406EE" w:rsidRDefault="007406EE" w:rsidP="007406EE">
      <w:pPr>
        <w:pStyle w:val="Akapitzlist"/>
        <w:spacing w:line="276" w:lineRule="auto"/>
        <w:ind w:left="0" w:firstLine="72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Do oferty trzeba załączyć dowód wpłaty wadium, przy czym wpłata </w:t>
      </w:r>
      <w:r w:rsidR="004A617E">
        <w:rPr>
          <w:rFonts w:cstheme="minorHAnsi"/>
          <w:color w:val="333333"/>
        </w:rPr>
        <w:t xml:space="preserve">winna zostać dokonana w przeddzień przetargu </w:t>
      </w:r>
      <w:r>
        <w:rPr>
          <w:rFonts w:cstheme="minorHAnsi"/>
          <w:color w:val="333333"/>
        </w:rPr>
        <w:t>w taki sposób, aby uznanie konta sprzedawcy nastąpiło przed upływem terminu składania ofert. Brak uznania konta sprzedawcy w zakresie opłaty wadium uprawnia sprzedawcę do odrzucenia oferty (jej nie przyjęcia).</w:t>
      </w:r>
    </w:p>
    <w:p w:rsidR="007406EE" w:rsidRPr="001201B4" w:rsidRDefault="007406EE" w:rsidP="007406EE">
      <w:pPr>
        <w:pStyle w:val="Akapitzlist"/>
        <w:spacing w:line="276" w:lineRule="auto"/>
        <w:ind w:left="0" w:firstLine="720"/>
        <w:jc w:val="both"/>
        <w:rPr>
          <w:rFonts w:cstheme="minorHAnsi"/>
          <w:color w:val="333333"/>
        </w:rPr>
      </w:pPr>
      <w:r w:rsidRPr="00642928">
        <w:rPr>
          <w:rFonts w:cstheme="minorHAnsi"/>
          <w:color w:val="333333"/>
        </w:rPr>
        <w:t>Wadium przepada na</w:t>
      </w:r>
      <w:r w:rsidRPr="009C7DF3">
        <w:rPr>
          <w:rFonts w:eastAsia="Times New Roman" w:cstheme="minorHAnsi"/>
          <w:color w:val="333333"/>
          <w:lang w:eastAsia="pl-PL"/>
        </w:rPr>
        <w:t xml:space="preserve"> </w:t>
      </w:r>
      <w:r>
        <w:rPr>
          <w:rFonts w:eastAsia="Times New Roman" w:cstheme="minorHAnsi"/>
          <w:color w:val="333333"/>
          <w:lang w:eastAsia="pl-PL"/>
        </w:rPr>
        <w:t xml:space="preserve">rzecz </w:t>
      </w:r>
      <w:r w:rsidRPr="009C7DF3">
        <w:rPr>
          <w:rFonts w:eastAsia="Times New Roman" w:cstheme="minorHAnsi"/>
          <w:color w:val="333333"/>
          <w:lang w:eastAsia="pl-PL"/>
        </w:rPr>
        <w:t>sprzedawcy, jeżeli żaden z uczestników licytacji nie zaof</w:t>
      </w:r>
      <w:r>
        <w:rPr>
          <w:rFonts w:eastAsia="Times New Roman" w:cstheme="minorHAnsi"/>
          <w:color w:val="333333"/>
          <w:lang w:eastAsia="pl-PL"/>
        </w:rPr>
        <w:t>e</w:t>
      </w:r>
      <w:r w:rsidRPr="009C7DF3">
        <w:rPr>
          <w:rFonts w:eastAsia="Times New Roman" w:cstheme="minorHAnsi"/>
          <w:color w:val="333333"/>
          <w:lang w:eastAsia="pl-PL"/>
        </w:rPr>
        <w:t>ruje ceny nabycia równej co najmniej cenie wywoławczej</w:t>
      </w:r>
      <w:r w:rsidRPr="00642928">
        <w:rPr>
          <w:rFonts w:eastAsia="Times New Roman" w:cstheme="minorHAnsi"/>
          <w:color w:val="333333"/>
          <w:lang w:eastAsia="pl-PL"/>
        </w:rPr>
        <w:t xml:space="preserve"> albo uczestnik przetargu, którego oferta została wybrana </w:t>
      </w:r>
      <w:r>
        <w:rPr>
          <w:rFonts w:eastAsia="Times New Roman" w:cstheme="minorHAnsi"/>
          <w:color w:val="333333"/>
          <w:lang w:eastAsia="pl-PL"/>
        </w:rPr>
        <w:t>uchyli się od zawarcia</w:t>
      </w:r>
      <w:r w:rsidRPr="00642928">
        <w:rPr>
          <w:rFonts w:eastAsia="Times New Roman" w:cstheme="minorHAnsi"/>
          <w:color w:val="333333"/>
          <w:lang w:eastAsia="pl-PL"/>
        </w:rPr>
        <w:t xml:space="preserve"> umowy sprzedaży. W</w:t>
      </w:r>
      <w:r w:rsidRPr="009C7DF3">
        <w:rPr>
          <w:rFonts w:eastAsia="Times New Roman" w:cstheme="minorHAnsi"/>
          <w:color w:val="333333"/>
          <w:lang w:eastAsia="pl-PL"/>
        </w:rPr>
        <w:t>adium złożone przez oferentów, których oferty nie zostaną przyjęte, zostanie zwrócone bezpośrednio po dokonaniu wyboru oferty, a oferentowi, którego oferta została przyjęta, zostanie zarachowane na poczet ceny</w:t>
      </w:r>
      <w:r w:rsidRPr="00642928">
        <w:rPr>
          <w:rFonts w:eastAsia="Times New Roman" w:cstheme="minorHAnsi"/>
          <w:color w:val="333333"/>
          <w:lang w:eastAsia="pl-PL"/>
        </w:rPr>
        <w:t>.</w:t>
      </w:r>
    </w:p>
    <w:p w:rsidR="007406EE" w:rsidRDefault="007406EE" w:rsidP="007406EE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7406EE" w:rsidRPr="00E95FEF" w:rsidRDefault="00E42975" w:rsidP="007406E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333333"/>
        </w:rPr>
      </w:pPr>
      <w:r w:rsidRPr="00E95FEF">
        <w:rPr>
          <w:rFonts w:eastAsia="Times New Roman" w:cstheme="minorHAnsi"/>
          <w:b/>
          <w:bCs/>
          <w:color w:val="333333"/>
          <w:lang w:eastAsia="pl-PL"/>
        </w:rPr>
        <w:t>M</w:t>
      </w:r>
      <w:r w:rsidRPr="003940F4">
        <w:rPr>
          <w:rFonts w:eastAsia="Times New Roman" w:cstheme="minorHAnsi"/>
          <w:b/>
          <w:bCs/>
          <w:color w:val="333333"/>
          <w:lang w:eastAsia="pl-PL"/>
        </w:rPr>
        <w:t xml:space="preserve">iejsce, termin i tryb składania ofert oraz okres </w:t>
      </w:r>
      <w:r w:rsidRPr="00E95FEF">
        <w:rPr>
          <w:rFonts w:eastAsia="Times New Roman" w:cstheme="minorHAnsi"/>
          <w:b/>
          <w:bCs/>
          <w:color w:val="333333"/>
          <w:lang w:eastAsia="pl-PL"/>
        </w:rPr>
        <w:t>z</w:t>
      </w:r>
      <w:r w:rsidRPr="003940F4">
        <w:rPr>
          <w:rFonts w:eastAsia="Times New Roman" w:cstheme="minorHAnsi"/>
          <w:b/>
          <w:bCs/>
          <w:color w:val="333333"/>
          <w:lang w:eastAsia="pl-PL"/>
        </w:rPr>
        <w:t>wiązania ofert</w:t>
      </w:r>
      <w:r w:rsidRPr="00E95FEF">
        <w:rPr>
          <w:rFonts w:eastAsia="Times New Roman" w:cstheme="minorHAnsi"/>
          <w:b/>
          <w:bCs/>
          <w:color w:val="333333"/>
          <w:lang w:eastAsia="pl-PL"/>
        </w:rPr>
        <w:t>ą</w:t>
      </w:r>
    </w:p>
    <w:p w:rsidR="00B03BE5" w:rsidRPr="00E95FEF" w:rsidRDefault="00B03BE5" w:rsidP="00B03BE5">
      <w:pPr>
        <w:pStyle w:val="Akapitzlist"/>
        <w:spacing w:line="276" w:lineRule="auto"/>
        <w:ind w:left="0" w:firstLine="720"/>
        <w:jc w:val="both"/>
        <w:rPr>
          <w:rFonts w:cstheme="minorHAnsi"/>
          <w:color w:val="333333"/>
        </w:rPr>
      </w:pPr>
    </w:p>
    <w:p w:rsidR="00E42975" w:rsidRDefault="00E42975" w:rsidP="00E42975">
      <w:pPr>
        <w:pStyle w:val="Akapitzlist"/>
        <w:spacing w:line="276" w:lineRule="auto"/>
        <w:ind w:left="0" w:firstLine="556"/>
        <w:jc w:val="both"/>
        <w:rPr>
          <w:rFonts w:cstheme="minorHAnsi"/>
          <w:color w:val="333333"/>
        </w:rPr>
      </w:pPr>
      <w:r w:rsidRPr="00E95FEF">
        <w:rPr>
          <w:rFonts w:cstheme="minorHAnsi"/>
          <w:color w:val="333333"/>
        </w:rPr>
        <w:t>Oferty należy składać w formie pisemnej zwykłej w sekretariacie Muzeum w Piotrkowie Trybunalskim (pok. 1) w godzinach pracy sekretariatu Muzeum (dni robocze w godzinach 8-15) do 1</w:t>
      </w:r>
      <w:r w:rsidR="008E2BE2">
        <w:rPr>
          <w:rFonts w:cstheme="minorHAnsi"/>
          <w:color w:val="333333"/>
        </w:rPr>
        <w:t>6</w:t>
      </w:r>
      <w:r w:rsidRPr="00E95FEF">
        <w:rPr>
          <w:rFonts w:cstheme="minorHAnsi"/>
          <w:color w:val="333333"/>
        </w:rPr>
        <w:t xml:space="preserve"> lutego 2023 r. do godz. 10.00. W przypadku doręczenia pocztą lub kurierem decyduje chwila rzeczywistego dostarczenia oferty do sekretariatu Muzeum. Oferta </w:t>
      </w:r>
      <w:r w:rsidR="00E95FEF" w:rsidRPr="00E95FEF">
        <w:rPr>
          <w:rFonts w:cstheme="minorHAnsi"/>
          <w:color w:val="333333"/>
        </w:rPr>
        <w:t xml:space="preserve">– zgodna ze wzorem określonym w załączniku nr 3 </w:t>
      </w:r>
      <w:r w:rsidR="00E95FEF">
        <w:rPr>
          <w:rFonts w:cstheme="minorHAnsi"/>
          <w:color w:val="333333"/>
        </w:rPr>
        <w:t xml:space="preserve">do niniejszego zaproszenia - </w:t>
      </w:r>
      <w:r w:rsidRPr="00E95FEF">
        <w:rPr>
          <w:rFonts w:cstheme="minorHAnsi"/>
          <w:color w:val="333333"/>
        </w:rPr>
        <w:t>dla swojej ważności musi być podpisana przez osobę uprawnion</w:t>
      </w:r>
      <w:r w:rsidR="00E95FEF" w:rsidRPr="00E95FEF">
        <w:rPr>
          <w:rFonts w:cstheme="minorHAnsi"/>
          <w:color w:val="333333"/>
        </w:rPr>
        <w:t>ą</w:t>
      </w:r>
      <w:r w:rsidRPr="00E95FEF">
        <w:rPr>
          <w:rFonts w:cstheme="minorHAnsi"/>
          <w:color w:val="333333"/>
        </w:rPr>
        <w:t xml:space="preserve"> do reprezentacji</w:t>
      </w:r>
      <w:r w:rsidR="00E95FEF">
        <w:rPr>
          <w:rFonts w:cstheme="minorHAnsi"/>
          <w:color w:val="333333"/>
        </w:rPr>
        <w:t xml:space="preserve"> i zawierać proponowaną cen</w:t>
      </w:r>
      <w:r w:rsidR="00ED72BE">
        <w:rPr>
          <w:rFonts w:cstheme="minorHAnsi"/>
          <w:color w:val="333333"/>
        </w:rPr>
        <w:t>ę</w:t>
      </w:r>
      <w:r w:rsidR="00E95FEF">
        <w:rPr>
          <w:rFonts w:cstheme="minorHAnsi"/>
          <w:color w:val="333333"/>
        </w:rPr>
        <w:t xml:space="preserve"> zakupu w wysokości minimum ceny wywoławczej.</w:t>
      </w:r>
      <w:r w:rsidR="00E95FEF" w:rsidRPr="00E95FEF">
        <w:rPr>
          <w:rFonts w:cstheme="minorHAnsi"/>
          <w:color w:val="333333"/>
        </w:rPr>
        <w:t xml:space="preserve"> W przypadku jeżeli reprezentacja nie wynika z treści KRS </w:t>
      </w:r>
      <w:r w:rsidR="00E95FEF">
        <w:rPr>
          <w:rFonts w:cstheme="minorHAnsi"/>
          <w:color w:val="333333"/>
        </w:rPr>
        <w:t xml:space="preserve">do oferty </w:t>
      </w:r>
      <w:r w:rsidR="00E95FEF" w:rsidRPr="00E95FEF">
        <w:rPr>
          <w:rFonts w:cstheme="minorHAnsi"/>
          <w:color w:val="333333"/>
        </w:rPr>
        <w:t xml:space="preserve">należy załączyć stosowne pełnomocnictwa/dokumenty. Do </w:t>
      </w:r>
      <w:r w:rsidR="00E95FEF">
        <w:rPr>
          <w:rFonts w:cstheme="minorHAnsi"/>
          <w:color w:val="333333"/>
        </w:rPr>
        <w:t>oferty należy także załączyć dowód opłaty wadium.</w:t>
      </w:r>
      <w:r w:rsidR="008E2BE2">
        <w:rPr>
          <w:rFonts w:cstheme="minorHAnsi"/>
          <w:color w:val="333333"/>
        </w:rPr>
        <w:t xml:space="preserve"> Oferty winny być składane w zamkniętych kopertach opatrzonych napisem „</w:t>
      </w:r>
      <w:r w:rsidR="008E2BE2" w:rsidRPr="008E2BE2">
        <w:rPr>
          <w:rFonts w:cstheme="minorHAnsi"/>
          <w:i/>
          <w:iCs/>
          <w:color w:val="333333"/>
        </w:rPr>
        <w:t>Oferta pisemna na zakup nieruchomości w Polichnie</w:t>
      </w:r>
      <w:r w:rsidR="008E2BE2">
        <w:rPr>
          <w:rFonts w:cstheme="minorHAnsi"/>
          <w:color w:val="333333"/>
        </w:rPr>
        <w:t>” oraz zastrzeżeniem „</w:t>
      </w:r>
      <w:r w:rsidR="008E2BE2" w:rsidRPr="008E2BE2">
        <w:rPr>
          <w:rFonts w:cstheme="minorHAnsi"/>
          <w:i/>
          <w:iCs/>
          <w:color w:val="333333"/>
        </w:rPr>
        <w:t>Nie otwierać przed terminem otwarcia ofert 16 lutego 2023 r. godz. 11.00</w:t>
      </w:r>
      <w:r w:rsidR="008E2BE2">
        <w:rPr>
          <w:rFonts w:cstheme="minorHAnsi"/>
          <w:color w:val="333333"/>
        </w:rPr>
        <w:t>”.</w:t>
      </w:r>
    </w:p>
    <w:p w:rsidR="00E95FEF" w:rsidRPr="00E95FEF" w:rsidRDefault="00E95FEF" w:rsidP="00E42975">
      <w:pPr>
        <w:pStyle w:val="Akapitzlist"/>
        <w:spacing w:line="276" w:lineRule="auto"/>
        <w:ind w:left="0" w:firstLine="556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Okres związania ofertą wynosi 180 dni od dnia składania ofert. Kupujący może przedłużyć okres związania ofertą.</w:t>
      </w:r>
    </w:p>
    <w:p w:rsidR="00E42975" w:rsidRPr="00ED72BE" w:rsidRDefault="00E42975" w:rsidP="00ED72BE">
      <w:pPr>
        <w:spacing w:line="276" w:lineRule="auto"/>
        <w:jc w:val="both"/>
        <w:rPr>
          <w:rFonts w:cstheme="minorHAnsi"/>
          <w:color w:val="333333"/>
        </w:rPr>
      </w:pPr>
    </w:p>
    <w:p w:rsidR="007406EE" w:rsidRPr="00ED72BE" w:rsidRDefault="007406EE" w:rsidP="00B03BE5">
      <w:pPr>
        <w:pStyle w:val="Akapitzlist"/>
        <w:spacing w:line="276" w:lineRule="auto"/>
        <w:jc w:val="both"/>
        <w:rPr>
          <w:rFonts w:cstheme="minorHAnsi"/>
          <w:b/>
          <w:bCs/>
          <w:color w:val="333333"/>
        </w:rPr>
      </w:pPr>
      <w:r w:rsidRPr="00ED72BE">
        <w:rPr>
          <w:rFonts w:cstheme="minorHAnsi"/>
          <w:b/>
          <w:bCs/>
          <w:color w:val="333333"/>
        </w:rPr>
        <w:t xml:space="preserve">IV. </w:t>
      </w:r>
      <w:r w:rsidR="00ED72BE" w:rsidRPr="00ED72BE">
        <w:rPr>
          <w:rFonts w:cstheme="minorHAnsi"/>
          <w:b/>
          <w:bCs/>
          <w:color w:val="333333"/>
        </w:rPr>
        <w:t>Wybór oferty, cena nieruchomości.</w:t>
      </w:r>
    </w:p>
    <w:p w:rsidR="00E95FEF" w:rsidRDefault="00E95FEF" w:rsidP="00B03BE5">
      <w:pPr>
        <w:pStyle w:val="Akapitzlist"/>
        <w:spacing w:line="276" w:lineRule="auto"/>
        <w:jc w:val="both"/>
        <w:rPr>
          <w:rFonts w:cstheme="minorHAnsi"/>
          <w:color w:val="333333"/>
        </w:rPr>
      </w:pPr>
    </w:p>
    <w:p w:rsidR="003940F4" w:rsidRDefault="00ED72BE" w:rsidP="00ED72BE">
      <w:pPr>
        <w:pStyle w:val="Akapitzlist"/>
        <w:spacing w:line="276" w:lineRule="auto"/>
        <w:ind w:left="0" w:firstLine="709"/>
        <w:jc w:val="both"/>
        <w:rPr>
          <w:rFonts w:eastAsia="Times New Roman" w:cstheme="minorHAnsi"/>
          <w:color w:val="333333"/>
          <w:lang w:eastAsia="pl-PL"/>
        </w:rPr>
      </w:pPr>
      <w:r w:rsidRPr="00ED72BE">
        <w:rPr>
          <w:rFonts w:cstheme="minorHAnsi"/>
          <w:color w:val="333333"/>
        </w:rPr>
        <w:t xml:space="preserve">Jedynym kryterium wyboru oferty jest cena. Cena wywoławcza wynosi </w:t>
      </w:r>
      <w:r w:rsidRPr="00ED72BE">
        <w:rPr>
          <w:rFonts w:cstheme="minorHAnsi"/>
          <w:b/>
          <w:bCs/>
          <w:color w:val="333333"/>
        </w:rPr>
        <w:t>1.719.000,- zł.</w:t>
      </w:r>
      <w:r w:rsidRPr="00ED72BE">
        <w:rPr>
          <w:rFonts w:cstheme="minorHAnsi"/>
          <w:color w:val="333333"/>
        </w:rPr>
        <w:t xml:space="preserve"> /słownie: jeden milion siedemset dziewiętnaście tysięcy złotych/. </w:t>
      </w:r>
      <w:r>
        <w:rPr>
          <w:rFonts w:cstheme="minorHAnsi"/>
          <w:color w:val="333333"/>
        </w:rPr>
        <w:t xml:space="preserve">Sprzedawca dokona wyboru oferty z najwyższą ceną (przy czym nie niżej niż cena wywoławcza). </w:t>
      </w:r>
      <w:r w:rsidRPr="00ED72BE">
        <w:rPr>
          <w:rFonts w:cstheme="minorHAnsi"/>
          <w:color w:val="333333"/>
        </w:rPr>
        <w:t>S</w:t>
      </w:r>
      <w:r w:rsidR="003940F4" w:rsidRPr="003940F4">
        <w:rPr>
          <w:rFonts w:eastAsia="Times New Roman" w:cstheme="minorHAnsi"/>
          <w:color w:val="333333"/>
          <w:lang w:eastAsia="pl-PL"/>
        </w:rPr>
        <w:t>przedawcy przysługuje prawo swobodnego wyboru oferty, jeżeli uczestnicy przetargu zaofiarowali tę samą cenę,</w:t>
      </w:r>
      <w:r>
        <w:rPr>
          <w:rFonts w:eastAsia="Times New Roman" w:cstheme="minorHAnsi"/>
          <w:color w:val="333333"/>
          <w:lang w:eastAsia="pl-PL"/>
        </w:rPr>
        <w:t xml:space="preserve"> przy czym sprzedawca wstępnie sygnalizuje dodatkowe negocjacje z oferentami, którzy zaproponowali taką cenę.</w:t>
      </w:r>
    </w:p>
    <w:p w:rsidR="00ED72BE" w:rsidRDefault="00ED72BE" w:rsidP="00ED72BE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>Cena ofertowa jest cen</w:t>
      </w:r>
      <w:r w:rsidR="00F54DE8">
        <w:rPr>
          <w:rFonts w:cstheme="minorHAnsi"/>
          <w:color w:val="333333"/>
        </w:rPr>
        <w:t>ą</w:t>
      </w:r>
      <w:r>
        <w:rPr>
          <w:rFonts w:cstheme="minorHAnsi"/>
          <w:color w:val="333333"/>
        </w:rPr>
        <w:t xml:space="preserve"> netto</w:t>
      </w:r>
      <w:r w:rsidR="00F54DE8">
        <w:rPr>
          <w:rFonts w:cstheme="minorHAnsi"/>
          <w:color w:val="333333"/>
        </w:rPr>
        <w:t>, do której należy doliczyć obciążenia podatkowe zgodnie z przepisami obowiązującymi w chwili podpisania umowy sprzedaży. Sprzedawca nie jest płatnikiem podatku od towarów i usług (VAT), a nieruchomość będąca przedmiotem sprzedaży stanowi zorganizowaną część przedsiębiorstwa. Całość podatku od czynności cywilnoprawnych (PCC) opłaca kupujący.</w:t>
      </w:r>
    </w:p>
    <w:p w:rsidR="00F54DE8" w:rsidRDefault="00F54DE8" w:rsidP="00ED72BE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 dniu przetargu 1</w:t>
      </w:r>
      <w:r w:rsidR="008E2BE2">
        <w:rPr>
          <w:rFonts w:cstheme="minorHAnsi"/>
          <w:color w:val="333333"/>
        </w:rPr>
        <w:t>6</w:t>
      </w:r>
      <w:r>
        <w:rPr>
          <w:rFonts w:cstheme="minorHAnsi"/>
          <w:color w:val="333333"/>
        </w:rPr>
        <w:t xml:space="preserve"> lutego 2023 r. o godz. 11.00 w siedzibie Muzeum w </w:t>
      </w:r>
      <w:r w:rsidR="00FC065D">
        <w:rPr>
          <w:rFonts w:cstheme="minorHAnsi"/>
          <w:color w:val="333333"/>
        </w:rPr>
        <w:t>s</w:t>
      </w:r>
      <w:r w:rsidR="009314DC">
        <w:rPr>
          <w:rFonts w:cstheme="minorHAnsi"/>
          <w:color w:val="333333"/>
        </w:rPr>
        <w:t>ali nr 6</w:t>
      </w:r>
      <w:r w:rsidR="00FC065D">
        <w:rPr>
          <w:rFonts w:cstheme="minorHAnsi"/>
          <w:color w:val="333333"/>
        </w:rPr>
        <w:t xml:space="preserve"> zostanie dokonane publiczne otwarcie ofert, na którym odczytane zostaną nazwy oferentów oraz proponowane przez nich ceny ofertowe. W terminie 7 dni od otwarcia ofert sprzedawca dokona sprawdzenia ważności ofert i wyboru najkorzystniejszej oferty (oferty z najwyższą ceną) i o dokonanym rozstrzygnięciu niezwłocznie poinformuje wszystkich oferentów. </w:t>
      </w:r>
      <w:r w:rsidR="00256F9D">
        <w:rPr>
          <w:rFonts w:cstheme="minorHAnsi"/>
          <w:color w:val="333333"/>
        </w:rPr>
        <w:t>Sprzedawca z ważnych powodów może przedłużyć ten termin.</w:t>
      </w:r>
    </w:p>
    <w:p w:rsidR="00256F9D" w:rsidRDefault="00256F9D" w:rsidP="00ED72BE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</w:p>
    <w:p w:rsidR="00256F9D" w:rsidRPr="008E2BE2" w:rsidRDefault="00256F9D" w:rsidP="00256F9D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333333"/>
        </w:rPr>
      </w:pPr>
      <w:r w:rsidRPr="008E2BE2">
        <w:rPr>
          <w:rFonts w:cstheme="minorHAnsi"/>
          <w:b/>
          <w:bCs/>
          <w:color w:val="333333"/>
        </w:rPr>
        <w:t>Zawarcie umowy sprzedaży</w:t>
      </w:r>
    </w:p>
    <w:p w:rsidR="00256F9D" w:rsidRDefault="00256F9D" w:rsidP="00256F9D">
      <w:pPr>
        <w:pStyle w:val="Akapitzlist"/>
        <w:spacing w:line="276" w:lineRule="auto"/>
        <w:ind w:left="1440"/>
        <w:jc w:val="both"/>
        <w:rPr>
          <w:rFonts w:cstheme="minorHAnsi"/>
          <w:color w:val="333333"/>
        </w:rPr>
      </w:pPr>
    </w:p>
    <w:p w:rsidR="00256F9D" w:rsidRDefault="00256F9D" w:rsidP="00256F9D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Sprzedaż nieruchomości nastąpi w formie aktu notarialnego u notariusza wskazanego przez sprzedawcę. Koszty aktu notarialnego ponosi kupujący, dlatego może on zaproponować inną Kancelarię notarialną położon</w:t>
      </w:r>
      <w:r w:rsidR="008E2BE2">
        <w:rPr>
          <w:rFonts w:cstheme="minorHAnsi"/>
          <w:color w:val="333333"/>
        </w:rPr>
        <w:t>ą</w:t>
      </w:r>
      <w:r>
        <w:rPr>
          <w:rFonts w:cstheme="minorHAnsi"/>
          <w:color w:val="333333"/>
        </w:rPr>
        <w:t xml:space="preserve"> na terenie Województwa Łódzkiego, albo zaproponować na swój koszt przybycie notariusza do siedziby sprzedawcy; przy czym notariusz wskazany przez kupującego musi uwzględnić wszystkie wymogi zawarte w niniejszym zaproszeniu, w szczególności zapisy odnośnie rezygnacji z roszczeń z tytułu rękojmi za wady fizyczne oraz zastrzeżenia kary umownej w przypadku nieuzgodnionego ze sprzedawcą likwidacj</w:t>
      </w:r>
      <w:r w:rsidR="008E2BE2">
        <w:rPr>
          <w:rFonts w:cstheme="minorHAnsi"/>
          <w:color w:val="333333"/>
        </w:rPr>
        <w:t>ą</w:t>
      </w:r>
      <w:r>
        <w:rPr>
          <w:rFonts w:cstheme="minorHAnsi"/>
          <w:color w:val="333333"/>
        </w:rPr>
        <w:t xml:space="preserve"> głazu z tablicą upamiętniającą ZWZ i AK.</w:t>
      </w:r>
    </w:p>
    <w:p w:rsidR="00256F9D" w:rsidRDefault="00256F9D" w:rsidP="00256F9D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  <w:r w:rsidRPr="008E2BE2">
        <w:rPr>
          <w:rFonts w:cstheme="minorHAnsi"/>
          <w:b/>
          <w:bCs/>
          <w:color w:val="333333"/>
        </w:rPr>
        <w:t>Warunkiem przystąpienia sprzedawcy do umowy sprzedaży jest zapłata całości ceny.</w:t>
      </w:r>
      <w:r>
        <w:rPr>
          <w:rFonts w:cstheme="minorHAnsi"/>
          <w:color w:val="333333"/>
        </w:rPr>
        <w:t xml:space="preserve"> Uchylenie się kupującego od </w:t>
      </w:r>
      <w:r w:rsidR="008E2BE2">
        <w:rPr>
          <w:rFonts w:cstheme="minorHAnsi"/>
          <w:color w:val="333333"/>
        </w:rPr>
        <w:t>podpisania umowy sprzedaży (przez co rozumiany jest także brak uregulowania ceny przed ustalonym terminem sprzedaży) spowoduje utratę wadium.</w:t>
      </w:r>
    </w:p>
    <w:p w:rsidR="00256F9D" w:rsidRDefault="00256F9D" w:rsidP="00256F9D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</w:p>
    <w:p w:rsidR="008E2BE2" w:rsidRDefault="008E2BE2" w:rsidP="00256F9D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</w:p>
    <w:p w:rsidR="008E2BE2" w:rsidRDefault="008E2BE2" w:rsidP="00256F9D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</w:p>
    <w:p w:rsidR="008E2BE2" w:rsidRDefault="008E2BE2" w:rsidP="00256F9D">
      <w:pPr>
        <w:pStyle w:val="Akapitzlist"/>
        <w:spacing w:line="276" w:lineRule="auto"/>
        <w:ind w:left="0" w:firstLine="709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Załączniki:</w:t>
      </w:r>
    </w:p>
    <w:p w:rsidR="008E2BE2" w:rsidRDefault="008E2BE2" w:rsidP="008E2BE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Operat szacunkowy;</w:t>
      </w:r>
    </w:p>
    <w:p w:rsidR="008E2BE2" w:rsidRDefault="008E2BE2" w:rsidP="008E2BE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Pismo ŁWKZ,</w:t>
      </w:r>
    </w:p>
    <w:p w:rsidR="008E2BE2" w:rsidRDefault="008E2BE2" w:rsidP="008E2BE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Wzór oferty.</w:t>
      </w:r>
    </w:p>
    <w:p w:rsidR="003940F4" w:rsidRPr="001201B4" w:rsidRDefault="003940F4" w:rsidP="001201B4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sectPr w:rsidR="003940F4" w:rsidRPr="001201B4" w:rsidSect="005902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53" w:rsidRDefault="00160953" w:rsidP="00501C6A">
      <w:pPr>
        <w:spacing w:after="0" w:line="240" w:lineRule="auto"/>
      </w:pPr>
      <w:r>
        <w:separator/>
      </w:r>
    </w:p>
  </w:endnote>
  <w:endnote w:type="continuationSeparator" w:id="0">
    <w:p w:rsidR="00160953" w:rsidRDefault="00160953" w:rsidP="0050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53" w:rsidRDefault="00160953" w:rsidP="00501C6A">
      <w:pPr>
        <w:spacing w:after="0" w:line="240" w:lineRule="auto"/>
      </w:pPr>
      <w:r>
        <w:separator/>
      </w:r>
    </w:p>
  </w:footnote>
  <w:footnote w:type="continuationSeparator" w:id="0">
    <w:p w:rsidR="00160953" w:rsidRDefault="00160953" w:rsidP="0050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AD3"/>
    <w:multiLevelType w:val="hybridMultilevel"/>
    <w:tmpl w:val="A3D6FA0C"/>
    <w:lvl w:ilvl="0" w:tplc="F1CA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0656"/>
    <w:multiLevelType w:val="hybridMultilevel"/>
    <w:tmpl w:val="B8CCDCD8"/>
    <w:lvl w:ilvl="0" w:tplc="B216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403C7"/>
    <w:multiLevelType w:val="hybridMultilevel"/>
    <w:tmpl w:val="C5F02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FAC"/>
    <w:multiLevelType w:val="hybridMultilevel"/>
    <w:tmpl w:val="B70253EE"/>
    <w:lvl w:ilvl="0" w:tplc="38D6B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01190"/>
    <w:multiLevelType w:val="hybridMultilevel"/>
    <w:tmpl w:val="265E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2071"/>
    <w:multiLevelType w:val="hybridMultilevel"/>
    <w:tmpl w:val="A0264738"/>
    <w:lvl w:ilvl="0" w:tplc="BC187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357CCD"/>
    <w:multiLevelType w:val="hybridMultilevel"/>
    <w:tmpl w:val="E43A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B0A72"/>
    <w:multiLevelType w:val="hybridMultilevel"/>
    <w:tmpl w:val="8A903408"/>
    <w:lvl w:ilvl="0" w:tplc="60865E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28"/>
    <w:rsid w:val="000034FF"/>
    <w:rsid w:val="000430A0"/>
    <w:rsid w:val="00064E2A"/>
    <w:rsid w:val="00070F3F"/>
    <w:rsid w:val="000A50B0"/>
    <w:rsid w:val="000A5702"/>
    <w:rsid w:val="00114153"/>
    <w:rsid w:val="001201B4"/>
    <w:rsid w:val="00124D7A"/>
    <w:rsid w:val="00160953"/>
    <w:rsid w:val="00194C8D"/>
    <w:rsid w:val="001C6588"/>
    <w:rsid w:val="001E0BBD"/>
    <w:rsid w:val="001F6B34"/>
    <w:rsid w:val="0023541E"/>
    <w:rsid w:val="00256F9D"/>
    <w:rsid w:val="002B695E"/>
    <w:rsid w:val="002C501E"/>
    <w:rsid w:val="00367723"/>
    <w:rsid w:val="003940F4"/>
    <w:rsid w:val="003A6C7C"/>
    <w:rsid w:val="003D1862"/>
    <w:rsid w:val="003D4E88"/>
    <w:rsid w:val="003E43E8"/>
    <w:rsid w:val="004A617E"/>
    <w:rsid w:val="00501C6A"/>
    <w:rsid w:val="00516198"/>
    <w:rsid w:val="00521995"/>
    <w:rsid w:val="0059023E"/>
    <w:rsid w:val="005908F7"/>
    <w:rsid w:val="005E49BA"/>
    <w:rsid w:val="0061510C"/>
    <w:rsid w:val="00625970"/>
    <w:rsid w:val="00642928"/>
    <w:rsid w:val="00670175"/>
    <w:rsid w:val="006755B3"/>
    <w:rsid w:val="006C4982"/>
    <w:rsid w:val="007406EE"/>
    <w:rsid w:val="0077300F"/>
    <w:rsid w:val="007B2428"/>
    <w:rsid w:val="008661D6"/>
    <w:rsid w:val="008A3BD2"/>
    <w:rsid w:val="008E2BE2"/>
    <w:rsid w:val="009314DC"/>
    <w:rsid w:val="009C7DF3"/>
    <w:rsid w:val="00A32D0B"/>
    <w:rsid w:val="00AC158E"/>
    <w:rsid w:val="00AD1D8A"/>
    <w:rsid w:val="00B01AA6"/>
    <w:rsid w:val="00B03BE5"/>
    <w:rsid w:val="00B77B3F"/>
    <w:rsid w:val="00B97766"/>
    <w:rsid w:val="00BC0323"/>
    <w:rsid w:val="00CA2946"/>
    <w:rsid w:val="00D55540"/>
    <w:rsid w:val="00DA5A85"/>
    <w:rsid w:val="00E42975"/>
    <w:rsid w:val="00E95AA3"/>
    <w:rsid w:val="00E95FEF"/>
    <w:rsid w:val="00ED72BE"/>
    <w:rsid w:val="00EF5F88"/>
    <w:rsid w:val="00F54DE8"/>
    <w:rsid w:val="00FA638A"/>
    <w:rsid w:val="00FC065D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B54B-CA04-432F-8A2A-5D7A2E37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1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19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C49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1A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01A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6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8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2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41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111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3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4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9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adwmkrol@gmail.com</dc:creator>
  <cp:keywords/>
  <dc:description/>
  <cp:lastModifiedBy>admin</cp:lastModifiedBy>
  <cp:revision>12</cp:revision>
  <cp:lastPrinted>2023-01-09T12:27:00Z</cp:lastPrinted>
  <dcterms:created xsi:type="dcterms:W3CDTF">2023-01-09T14:01:00Z</dcterms:created>
  <dcterms:modified xsi:type="dcterms:W3CDTF">2023-01-17T07:29:00Z</dcterms:modified>
</cp:coreProperties>
</file>